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微软雅黑" w:hAnsi="微软雅黑" w:eastAsia="微软雅黑" w:cs="华文中宋"/>
          <w:sz w:val="40"/>
          <w:szCs w:val="48"/>
        </w:rPr>
      </w:pPr>
      <w:r>
        <w:rPr>
          <w:rFonts w:hint="eastAsia" w:ascii="微软雅黑" w:hAnsi="微软雅黑" w:eastAsia="微软雅黑" w:cs="华文中宋"/>
          <w:sz w:val="40"/>
          <w:szCs w:val="48"/>
        </w:rPr>
        <w:t>高层次国际化人才培养创新实践项目</w:t>
      </w:r>
    </w:p>
    <w:p>
      <w:pPr>
        <w:spacing w:line="480" w:lineRule="auto"/>
        <w:jc w:val="center"/>
        <w:rPr>
          <w:rFonts w:ascii="微软雅黑" w:hAnsi="微软雅黑" w:eastAsia="微软雅黑" w:cs="华文中宋"/>
          <w:sz w:val="32"/>
          <w:szCs w:val="40"/>
        </w:rPr>
      </w:pPr>
      <w:r>
        <w:rPr>
          <w:rFonts w:hint="eastAsia" w:ascii="微软雅黑" w:hAnsi="微软雅黑" w:eastAsia="微软雅黑" w:cs="华文中宋"/>
          <w:sz w:val="32"/>
          <w:szCs w:val="40"/>
        </w:rPr>
        <w:t>2022年秋季学期讲座和课程时间安排</w:t>
      </w:r>
    </w:p>
    <w:tbl>
      <w:tblPr>
        <w:tblStyle w:val="7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18"/>
        <w:gridCol w:w="3685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838" w:type="dxa"/>
            <w:shd w:val="clear" w:color="auto" w:fill="2F5496" w:themeFill="accent5" w:themeFillShade="BF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 w:cs="华文中宋"/>
                <w:color w:val="FFFFFF" w:themeColor="background1"/>
                <w:kern w:val="0"/>
                <w:sz w:val="28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FFFFFF" w:themeColor="background1"/>
                <w:kern w:val="0"/>
                <w:sz w:val="28"/>
                <w:szCs w:val="36"/>
                <w14:textFill>
                  <w14:solidFill>
                    <w14:schemeClr w14:val="bg1"/>
                  </w14:solidFill>
                </w14:textFill>
              </w:rPr>
              <w:t>时间</w:t>
            </w:r>
          </w:p>
        </w:tc>
        <w:tc>
          <w:tcPr>
            <w:tcW w:w="1418" w:type="dxa"/>
            <w:shd w:val="clear" w:color="auto" w:fill="2F5496" w:themeFill="accent5" w:themeFillShade="BF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 w:cs="华文中宋"/>
                <w:color w:val="FFFFFF" w:themeColor="background1"/>
                <w:kern w:val="0"/>
                <w:sz w:val="28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FFFFFF" w:themeColor="background1"/>
                <w:kern w:val="0"/>
                <w:sz w:val="28"/>
                <w:szCs w:val="36"/>
                <w14:textFill>
                  <w14:solidFill>
                    <w14:schemeClr w14:val="bg1"/>
                  </w14:solidFill>
                </w14:textFill>
              </w:rPr>
              <w:t>阶段任务</w:t>
            </w:r>
          </w:p>
        </w:tc>
        <w:tc>
          <w:tcPr>
            <w:tcW w:w="3685" w:type="dxa"/>
            <w:shd w:val="clear" w:color="auto" w:fill="2F5496" w:themeFill="accent5" w:themeFillShade="BF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 w:cs="华文中宋"/>
                <w:color w:val="FFFFFF" w:themeColor="background1"/>
                <w:kern w:val="0"/>
                <w:sz w:val="28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FFFFFF" w:themeColor="background1"/>
                <w:kern w:val="0"/>
                <w:sz w:val="28"/>
                <w:szCs w:val="36"/>
                <w14:textFill>
                  <w14:solidFill>
                    <w14:schemeClr w14:val="bg1"/>
                  </w14:solidFill>
                </w14:textFill>
              </w:rPr>
              <w:t>高层次项目安排</w:t>
            </w:r>
          </w:p>
        </w:tc>
        <w:tc>
          <w:tcPr>
            <w:tcW w:w="3119" w:type="dxa"/>
            <w:shd w:val="clear" w:color="auto" w:fill="2F5496" w:themeFill="accent5" w:themeFillShade="BF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 w:cs="华文中宋"/>
                <w:color w:val="FFFFFF" w:themeColor="background1"/>
                <w:kern w:val="0"/>
                <w:sz w:val="28"/>
                <w:szCs w:val="3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FFFFFF" w:themeColor="background1"/>
                <w:kern w:val="0"/>
                <w:sz w:val="28"/>
                <w:szCs w:val="36"/>
                <w14:textFill>
                  <w14:solidFill>
                    <w14:schemeClr w14:val="bg1"/>
                  </w14:solidFill>
                </w14:textFill>
              </w:rPr>
              <w:t>高校工作安排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9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.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8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 xml:space="preserve"> - 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9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.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新学期项目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宣传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及招生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报名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华文中宋"/>
                <w:kern w:val="0"/>
                <w:sz w:val="20"/>
                <w:szCs w:val="20"/>
              </w:rPr>
              <w:t xml:space="preserve">9.8 </w:t>
            </w: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提供秋季学期国际公务员职业生涯规划主题【讲座海报】和全球治理线上课程【课程海报】；</w:t>
            </w:r>
          </w:p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9</w:t>
            </w:r>
            <w:r>
              <w:rPr>
                <w:rFonts w:ascii="黑体" w:hAnsi="黑体" w:eastAsia="黑体" w:cs="华文中宋"/>
                <w:kern w:val="0"/>
                <w:sz w:val="20"/>
                <w:szCs w:val="20"/>
              </w:rPr>
              <w:t xml:space="preserve">.14-9.16 </w:t>
            </w: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通过【高层次国际化人才培养加油站】公众号发布讲座推文。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发布新学期高层次项目招生宣传通知，组织线上/下宣讲活动及招生选拔工作，引导学生关注【高层次国际化人才培养加油站】公众号。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9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.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21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 xml:space="preserve"> - 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9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.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讲座直播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通过【高层次国际化人才培养加油站】公众号向学生发送讲座提醒。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提醒学生关注讲座通知并按时参与讲座。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9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.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21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 xml:space="preserve"> - 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9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.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27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br w:type="textWrapping"/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（</w:t>
            </w:r>
            <w:r>
              <w:rPr>
                <w:rFonts w:hint="eastAsia" w:ascii="黑体" w:hAnsi="黑体" w:eastAsia="黑体" w:cs="华文中宋"/>
                <w:b/>
                <w:bCs/>
                <w:color w:val="FF0000"/>
                <w:kern w:val="0"/>
                <w:sz w:val="21"/>
                <w:szCs w:val="24"/>
              </w:rPr>
              <w:t>9.27中午12:00</w:t>
            </w:r>
            <w:r>
              <w:rPr>
                <w:rFonts w:ascii="黑体" w:hAnsi="黑体" w:eastAsia="黑体" w:cs="华文中宋"/>
                <w:b/>
                <w:bCs/>
                <w:color w:val="FF0000"/>
                <w:kern w:val="0"/>
                <w:sz w:val="21"/>
                <w:szCs w:val="24"/>
              </w:rPr>
              <w:t>截止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课程宣传和报名</w:t>
            </w:r>
          </w:p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线上英语笔试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9</w:t>
            </w:r>
            <w:r>
              <w:rPr>
                <w:rFonts w:ascii="黑体" w:hAnsi="黑体" w:eastAsia="黑体" w:cs="华文中宋"/>
                <w:kern w:val="0"/>
                <w:sz w:val="20"/>
                <w:szCs w:val="20"/>
              </w:rPr>
              <w:t>.21</w:t>
            </w: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通过【高层次国际化人才培养加油站】公众号发送全球治理课程报名通知；</w:t>
            </w:r>
          </w:p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在讲座期间通过工作人员提示引导学生报名；</w:t>
            </w:r>
          </w:p>
          <w:p>
            <w:pP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学生完成报名后，通过【高层次国际化人才培养加油站】公众号发送成功报名提示。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发布全球治理线上课程报名通知，组织和提醒学生在</w:t>
            </w:r>
            <w:r>
              <w:rPr>
                <w:rFonts w:hint="eastAsia" w:ascii="黑体" w:hAnsi="黑体" w:eastAsia="黑体" w:cs="华文中宋"/>
                <w:b/>
                <w:bCs/>
                <w:color w:val="FF0000"/>
                <w:kern w:val="0"/>
                <w:sz w:val="20"/>
                <w:szCs w:val="20"/>
              </w:rPr>
              <w:t>9月2</w:t>
            </w:r>
            <w:r>
              <w:rPr>
                <w:rFonts w:ascii="黑体" w:hAnsi="黑体" w:eastAsia="黑体" w:cs="华文中宋"/>
                <w:b/>
                <w:bCs/>
                <w:color w:val="FF0000"/>
                <w:kern w:val="0"/>
                <w:sz w:val="20"/>
                <w:szCs w:val="20"/>
              </w:rPr>
              <w:t>7</w:t>
            </w:r>
            <w:r>
              <w:rPr>
                <w:rFonts w:hint="eastAsia" w:ascii="黑体" w:hAnsi="黑体" w:eastAsia="黑体" w:cs="华文中宋"/>
                <w:b/>
                <w:bCs/>
                <w:color w:val="FF0000"/>
                <w:kern w:val="0"/>
                <w:sz w:val="20"/>
                <w:szCs w:val="20"/>
              </w:rPr>
              <w:t>日中午1</w:t>
            </w:r>
            <w:r>
              <w:rPr>
                <w:rFonts w:ascii="黑体" w:hAnsi="黑体" w:eastAsia="黑体" w:cs="华文中宋"/>
                <w:b/>
                <w:bCs/>
                <w:color w:val="FF0000"/>
                <w:kern w:val="0"/>
                <w:sz w:val="20"/>
                <w:szCs w:val="20"/>
              </w:rPr>
              <w:t>2:00</w:t>
            </w: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前登录系统完成注册、报名和笔试（仅新生需要注册及笔试）。</w:t>
            </w:r>
          </w:p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老生报名操作：登录+报名；</w:t>
            </w:r>
          </w:p>
          <w:p>
            <w:pP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新生报名操作：注册+报名+笔试。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9.27-9.30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确定选课名单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汇总学生报名及笔试数据，向高校提供</w:t>
            </w:r>
            <w:r>
              <w:rPr>
                <w:rFonts w:hint="eastAsia" w:ascii="黑体" w:hAnsi="黑体" w:eastAsia="黑体" w:cs="华文中宋"/>
                <w:b/>
                <w:bCs/>
                <w:kern w:val="0"/>
                <w:sz w:val="20"/>
                <w:szCs w:val="20"/>
              </w:rPr>
              <w:t>【报名及笔试成绩单】</w:t>
            </w: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，以供学校完成人员遴选。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学校自主划定人员遴选条件，结合【报名及笔试成绩单】，确定入选学生最终名单；</w:t>
            </w:r>
          </w:p>
          <w:p>
            <w:pP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如报名人数不足，可组织学生进行补报名和补录取工作。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10.1（00:00）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 xml:space="preserve"> - 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10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.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2（23:59）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预选课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开放预选课通道。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通知学生进行预选课，熟悉选课流程。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b/>
                <w:bCs/>
                <w:color w:val="FF0000"/>
                <w:kern w:val="0"/>
                <w:sz w:val="21"/>
                <w:szCs w:val="24"/>
              </w:rPr>
              <w:t>10</w:t>
            </w:r>
            <w:r>
              <w:rPr>
                <w:rFonts w:ascii="黑体" w:hAnsi="黑体" w:eastAsia="黑体" w:cs="华文中宋"/>
                <w:b/>
                <w:bCs/>
                <w:color w:val="FF0000"/>
                <w:kern w:val="0"/>
                <w:sz w:val="21"/>
                <w:szCs w:val="24"/>
              </w:rPr>
              <w:t>.</w:t>
            </w:r>
            <w:r>
              <w:rPr>
                <w:rFonts w:hint="eastAsia" w:ascii="黑体" w:hAnsi="黑体" w:eastAsia="黑体" w:cs="华文中宋"/>
                <w:b/>
                <w:bCs/>
                <w:color w:val="FF0000"/>
                <w:kern w:val="0"/>
                <w:sz w:val="21"/>
                <w:szCs w:val="24"/>
              </w:rPr>
              <w:t>3（10:00）</w:t>
            </w:r>
            <w:r>
              <w:rPr>
                <w:rFonts w:ascii="黑体" w:hAnsi="黑体" w:eastAsia="黑体" w:cs="华文中宋"/>
                <w:b/>
                <w:bCs/>
                <w:color w:val="FF0000"/>
                <w:kern w:val="0"/>
                <w:sz w:val="21"/>
                <w:szCs w:val="24"/>
              </w:rPr>
              <w:t xml:space="preserve"> - </w:t>
            </w:r>
            <w:r>
              <w:rPr>
                <w:rFonts w:hint="eastAsia" w:ascii="黑体" w:hAnsi="黑体" w:eastAsia="黑体" w:cs="华文中宋"/>
                <w:b/>
                <w:bCs/>
                <w:color w:val="FF0000"/>
                <w:kern w:val="0"/>
                <w:sz w:val="21"/>
                <w:szCs w:val="24"/>
              </w:rPr>
              <w:t>10</w:t>
            </w:r>
            <w:r>
              <w:rPr>
                <w:rFonts w:ascii="黑体" w:hAnsi="黑体" w:eastAsia="黑体" w:cs="华文中宋"/>
                <w:b/>
                <w:bCs/>
                <w:color w:val="FF0000"/>
                <w:kern w:val="0"/>
                <w:sz w:val="21"/>
                <w:szCs w:val="24"/>
              </w:rPr>
              <w:t>.</w:t>
            </w:r>
            <w:r>
              <w:rPr>
                <w:rFonts w:hint="eastAsia" w:ascii="黑体" w:hAnsi="黑体" w:eastAsia="黑体" w:cs="华文中宋"/>
                <w:b/>
                <w:bCs/>
                <w:color w:val="FF0000"/>
                <w:kern w:val="0"/>
                <w:sz w:val="21"/>
                <w:szCs w:val="24"/>
              </w:rPr>
              <w:t>7（23:59）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正式选课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开放正式选课通道，并通过【高层次国际化人才培养加油站】公众号发送提醒；</w:t>
            </w:r>
          </w:p>
          <w:p>
            <w:pP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1</w:t>
            </w:r>
            <w:r>
              <w:rPr>
                <w:rFonts w:ascii="黑体" w:hAnsi="黑体" w:eastAsia="黑体" w:cs="华文中宋"/>
                <w:kern w:val="0"/>
                <w:sz w:val="20"/>
                <w:szCs w:val="20"/>
              </w:rPr>
              <w:t>0.3</w:t>
            </w: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通过【高层次国际化人才培养加油站】公众号发布新学期课程课代表招募推文。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提醒学生按时完成和确认选课。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10.8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反馈正式选课数据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汇总学生选课信息，向高校发送</w:t>
            </w:r>
            <w:r>
              <w:rPr>
                <w:rFonts w:hint="eastAsia" w:ascii="黑体" w:hAnsi="黑体" w:eastAsia="黑体" w:cs="华文中宋"/>
                <w:b/>
                <w:bCs/>
                <w:kern w:val="0"/>
                <w:sz w:val="20"/>
                <w:szCs w:val="20"/>
              </w:rPr>
              <w:t>【正式选课确数据表】</w:t>
            </w: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；</w:t>
            </w:r>
          </w:p>
          <w:p>
            <w:pP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华文中宋"/>
                <w:kern w:val="0"/>
                <w:sz w:val="20"/>
                <w:szCs w:val="20"/>
              </w:rPr>
              <w:t>10.8</w:t>
            </w: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开启【课代表报名通道】。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10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.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9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 xml:space="preserve"> - 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10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.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确认正式选课结果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根据学校反馈调整学生选课，并向高校发送【选课结果确认表】；</w:t>
            </w:r>
          </w:p>
          <w:p>
            <w:pP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1</w:t>
            </w:r>
            <w:r>
              <w:rPr>
                <w:rFonts w:ascii="黑体" w:hAnsi="黑体" w:eastAsia="黑体" w:cs="华文中宋"/>
                <w:kern w:val="0"/>
                <w:sz w:val="20"/>
                <w:szCs w:val="20"/>
              </w:rPr>
              <w:t>0.11</w:t>
            </w: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通过【高层次国际化人才培养加油站】公众号发布【课代表投票】主题推文。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华文中宋"/>
                <w:b/>
                <w:bCs/>
                <w:color w:val="FF0000"/>
                <w:kern w:val="0"/>
                <w:sz w:val="20"/>
                <w:szCs w:val="20"/>
              </w:rPr>
              <w:t>10.14</w:t>
            </w:r>
            <w:r>
              <w:rPr>
                <w:rFonts w:hint="eastAsia" w:ascii="黑体" w:hAnsi="黑体" w:eastAsia="黑体" w:cs="华文中宋"/>
                <w:b/>
                <w:bCs/>
                <w:color w:val="FF0000"/>
                <w:kern w:val="0"/>
                <w:sz w:val="20"/>
                <w:szCs w:val="20"/>
              </w:rPr>
              <w:t>前确认本学期全球治理课程学生名单、所选课程及课位使用情况</w:t>
            </w: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；</w:t>
            </w:r>
          </w:p>
          <w:p>
            <w:pP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如选课人数不足，可组织学生进行补选。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10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.1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5-10.22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新生培训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及课前预习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1"/>
                <w:szCs w:val="24"/>
              </w:rPr>
            </w:pP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通过【高层次国际化人才培养加油站】公众号发布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通知并组织学生参与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【新生培训】（1学时）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；</w:t>
            </w:r>
          </w:p>
          <w:p>
            <w:pPr>
              <w:rPr>
                <w:rFonts w:ascii="黑体" w:hAnsi="黑体" w:eastAsia="黑体" w:cs="华文中宋"/>
                <w:kern w:val="0"/>
                <w:sz w:val="21"/>
                <w:szCs w:val="24"/>
              </w:rPr>
            </w:pP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引导新生进入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所选课程的【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课题微信群】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，开放学生端课程学习权限；</w:t>
            </w:r>
          </w:p>
          <w:p>
            <w:pPr>
              <w:rPr>
                <w:rFonts w:ascii="黑体" w:hAnsi="黑体" w:eastAsia="黑体" w:cs="华文中宋"/>
                <w:kern w:val="0"/>
                <w:sz w:val="21"/>
                <w:szCs w:val="24"/>
              </w:rPr>
            </w:pP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公布课代表最终人选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；</w:t>
            </w:r>
          </w:p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10.17公众号推送【图文版新生指南】推文。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提醒学生按时参加【新生培训】，提醒学生进入【课程微信群】。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10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.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22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-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11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.2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 xml:space="preserve">0 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正式上课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教授授课：5周共计16学时；</w:t>
            </w:r>
          </w:p>
          <w:p>
            <w:pP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助教授课：5周共计12学时；</w:t>
            </w:r>
          </w:p>
          <w:p>
            <w:pP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10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.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22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开学第一课（2学时），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11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.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20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最后一课（1学时）</w:t>
            </w: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。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可通过课程后台管理系统了解课程内容及学生参与课程表现。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11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.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20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 xml:space="preserve">- 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12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.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成绩统计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课程成绩评定：5次作业（80%）+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完课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（20%），换算成百分制，统计结束后将通过官网渠道公布。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12.15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成绩公布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1"/>
                <w:szCs w:val="24"/>
              </w:rPr>
            </w:pP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通过公众号与短信通知学生【成绩公布】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，并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发送成绩单到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学生的注册</w:t>
            </w:r>
            <w:r>
              <w:rPr>
                <w:rFonts w:ascii="黑体" w:hAnsi="黑体" w:eastAsia="黑体" w:cs="华文中宋"/>
                <w:kern w:val="0"/>
                <w:sz w:val="21"/>
                <w:szCs w:val="24"/>
              </w:rPr>
              <w:t>邮箱</w:t>
            </w:r>
            <w:r>
              <w:rPr>
                <w:rFonts w:hint="eastAsia" w:ascii="黑体" w:hAnsi="黑体" w:eastAsia="黑体" w:cs="华文中宋"/>
                <w:kern w:val="0"/>
                <w:sz w:val="21"/>
                <w:szCs w:val="24"/>
              </w:rPr>
              <w:t>；</w:t>
            </w:r>
          </w:p>
          <w:p>
            <w:pP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汇总学生成绩，向高校发送【学生成绩表】。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20"/>
              </w:rPr>
              <w:t>将学生成绩录入学校系统（如需要）。</w:t>
            </w:r>
          </w:p>
        </w:tc>
      </w:tr>
    </w:tbl>
    <w:p/>
    <w:p/>
    <w:p/>
    <w:p>
      <w:pPr>
        <w:jc w:val="center"/>
        <w:rPr>
          <w:rFonts w:ascii="宋体" w:hAnsi="宋体" w:eastAsia="宋体" w:cs="宋体"/>
          <w:sz w:val="20"/>
          <w:szCs w:val="20"/>
          <w:lang w:eastAsia="zh-Hans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2124075</wp:posOffset>
            </wp:positionH>
            <wp:positionV relativeFrom="page">
              <wp:posOffset>7325360</wp:posOffset>
            </wp:positionV>
            <wp:extent cx="2372995" cy="2372995"/>
            <wp:effectExtent l="0" t="0" r="1905" b="1905"/>
            <wp:wrapTopAndBottom/>
            <wp:docPr id="3" name="图片 3" descr="公众号加油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众号加油站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0"/>
          <w:szCs w:val="20"/>
          <w:lang w:eastAsia="zh-Hans"/>
        </w:rPr>
        <w:t>（</w:t>
      </w:r>
      <w:r>
        <w:rPr>
          <w:rFonts w:hint="eastAsia" w:ascii="宋体" w:hAnsi="宋体" w:eastAsia="宋体" w:cs="宋体"/>
          <w:sz w:val="20"/>
          <w:szCs w:val="20"/>
          <w:lang w:eastAsia="zh-Hans"/>
        </w:rPr>
        <w:t>高层次国际化人才培养加油站</w:t>
      </w:r>
      <w:r>
        <w:rPr>
          <w:rFonts w:ascii="宋体" w:hAnsi="宋体" w:eastAsia="宋体" w:cs="宋体"/>
          <w:sz w:val="20"/>
          <w:szCs w:val="20"/>
          <w:lang w:eastAsia="zh-Hans"/>
        </w:rPr>
        <w:t>）</w:t>
      </w:r>
    </w:p>
    <w:p>
      <w:pPr>
        <w:sectPr>
          <w:headerReference r:id="rId3" w:type="default"/>
          <w:footerReference r:id="rId4" w:type="default"/>
          <w:pgSz w:w="11906" w:h="16838"/>
          <w:pgMar w:top="850" w:right="850" w:bottom="850" w:left="850" w:header="851" w:footer="992" w:gutter="0"/>
          <w:cols w:space="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Spec="center" w:tblpY="161"/>
        <w:tblOverlap w:val="never"/>
        <w:tblW w:w="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7" w:type="dxa"/>
          <w:left w:w="102" w:type="dxa"/>
          <w:bottom w:w="17" w:type="dxa"/>
          <w:right w:w="17" w:type="dxa"/>
        </w:tblCellMar>
      </w:tblPr>
      <w:tblGrid>
        <w:gridCol w:w="830"/>
        <w:gridCol w:w="4899"/>
        <w:gridCol w:w="1399"/>
        <w:gridCol w:w="2064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715" w:hRule="atLeast"/>
          <w:jc w:val="center"/>
        </w:trPr>
        <w:tc>
          <w:tcPr>
            <w:tcW w:w="10496" w:type="dxa"/>
            <w:gridSpan w:val="5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B4C6E7" w:themeFill="accent5" w:themeFillTint="66"/>
            <w:noWrap/>
            <w:vAlign w:val="center"/>
          </w:tcPr>
          <w:p>
            <w:pPr>
              <w:keepNext w:val="0"/>
              <w:keepLines w:val="0"/>
              <w:suppressLineNumbers w:val="0"/>
              <w:shd w:val="clear" w:fill="DAE3F3" w:themeFill="accent5" w:themeFillTint="32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52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52"/>
                <w:lang w:val="en-US" w:eastAsia="zh-Hans"/>
              </w:rPr>
              <w:t>全球治理线上课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DAE3F3" w:themeFill="accent5" w:themeFillTint="32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2022年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秋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季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 基础类26门，进阶类10门，实践类4门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475" w:hRule="atLeast"/>
          <w:jc w:val="center"/>
        </w:trPr>
        <w:tc>
          <w:tcPr>
            <w:tcW w:w="830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FFFFFF" w:themeColor="background1" w:sz="4" w:space="0"/>
            </w:tcBorders>
            <w:shd w:val="clear" w:color="auto" w:fill="2F5496" w:themeFill="accent5" w:themeFillShade="BF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主题</w:t>
            </w:r>
          </w:p>
        </w:tc>
        <w:tc>
          <w:tcPr>
            <w:tcW w:w="4899" w:type="dxa"/>
            <w:tcBorders>
              <w:top w:val="single" w:color="1F2329" w:sz="8" w:space="0"/>
              <w:left w:val="single" w:color="FFFFFF" w:themeColor="background1" w:sz="4" w:space="0"/>
              <w:bottom w:val="single" w:color="1F2329" w:sz="8" w:space="0"/>
              <w:right w:val="single" w:color="FFFFFF" w:themeColor="background1" w:sz="4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FFFFFF" w:themeColor="background1" w:sz="4" w:space="0"/>
              <w:bottom w:val="single" w:color="1F2329" w:sz="8" w:space="0"/>
              <w:right w:val="single" w:color="FFFFFF" w:themeColor="background1" w:sz="4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  <w:t>授课老师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FFFFFF" w:themeColor="background1" w:sz="4" w:space="0"/>
              <w:bottom w:val="single" w:color="1F2329" w:sz="8" w:space="0"/>
              <w:right w:val="single" w:color="FFFFFF" w:themeColor="background1" w:sz="4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学校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FFFFFF" w:themeColor="background1" w:sz="4" w:space="0"/>
              <w:bottom w:val="single" w:color="1F2329" w:sz="8" w:space="0"/>
              <w:right w:val="single" w:color="1F2329" w:sz="8" w:space="0"/>
            </w:tcBorders>
            <w:shd w:val="clear" w:color="auto" w:fill="2F5496" w:themeFill="accent5" w:themeFillShade="BF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职衔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310" w:hRule="atLeast"/>
          <w:jc w:val="center"/>
        </w:trPr>
        <w:tc>
          <w:tcPr>
            <w:tcW w:w="10496" w:type="dxa"/>
            <w:gridSpan w:val="5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FFFFFF" w:themeColor="background1"/>
                <w:sz w:val="22"/>
                <w:szCs w:val="22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Hans"/>
              </w:rPr>
              <w:t>基础类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eastAsia="zh-Hans"/>
              </w:rPr>
              <w:t>（32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Hans"/>
              </w:rPr>
              <w:t>学时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Hans"/>
              </w:rPr>
              <w:t>门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eastAsia="zh-Hans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restart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人类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主题</w:t>
            </w: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探索联合国及其可持续发展目标</w: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Understanding UN and the Sustainable Development Goals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Duysal Askun Celik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莱斯大学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 xml:space="preserve">基于联合国报告的全球可持续发展导论 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Introduction to Global Development Based on the UN Report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Parfait Eloundou-Enyegue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康奈尔大学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可持续发展目标与国际教育发展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Sustainable Development Goals and International Education Development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James H. Williams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乔治华盛顿大学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性别关系与平等教育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Gender Relations and Equality Education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Laura Engel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乔治华盛顿大学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 xml:space="preserve">可持续发展与社会心理健康 </w: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Sustainable Development and Psychological Health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童梅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西安交通大学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音乐康复治疗与情绪管理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Music Therapy and Emotion Management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Katrina Skewes McFerran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墨尔本大学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751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 xml:space="preserve">大数据与公共健康管理 </w: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Big Data and Public Health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Ramin Ramezani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加州大学洛杉矶分校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客座副教授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跨文化艺术创意灵感挖掘</w: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What is Creativity ? : A Cross-Cultural Perspective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Alebna Yaneva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曼切斯特大学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restart"/>
            <w:tcBorders>
              <w:top w:val="single" w:color="1F2329" w:sz="8" w:space="0"/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地球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主题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环境与公共卫生的可持续发展研究</w: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Sustainable Development of Environment and Public Health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Talia Abbott Chalew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约翰霍普金斯大学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客座教授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left w:val="single" w:color="1F2329" w:sz="8" w:space="0"/>
              <w:bottom w:val="single" w:color="auto" w:sz="4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全球气候变化与生态可持续发展</w: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Climate Change and Ecosystem Sustainable Development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Kevin Njabo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加州大学洛杉矶分校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助理教授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15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1F2329" w:sz="8" w:space="0"/>
              <w:bottom w:val="single" w:color="auto" w:sz="4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000000" w:themeColor="text1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default" w:ascii="Calibri" w:hAnsi="Calibri" w:eastAsia="宋体" w:cs="Calibri"/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全球视野下的疫病、健康与城市建筑</w:t>
            </w:r>
            <w:r>
              <w:rPr>
                <w:rFonts w:hint="default" w:ascii="Calibri" w:hAnsi="Calibri" w:eastAsia="宋体" w:cs="Calibri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Calibri" w:hAnsi="Calibri" w:eastAsia="宋体" w:cs="Calibri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Epidemic disease, health and urban architecture in a global perspective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000000" w:themeColor="text1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刘亦师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000000" w:themeColor="text1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b w:val="0"/>
                <w:bCs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清华大学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000000" w:themeColor="text1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1064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1F2329" w:sz="8" w:space="0"/>
              <w:bottom w:val="single" w:color="auto" w:sz="4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新型绿色材料的应用及未来发展</w: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Application and Future Development of New Green Materials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陈珊珊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中国人民大学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1F2329" w:sz="8" w:space="0"/>
              <w:bottom w:val="single" w:color="auto" w:sz="4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 xml:space="preserve">粮食安全与农业可持续发展 </w: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Food Security and Sustainable Agricultural Development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Peer Schenk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昆士兰大学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1F2329" w:sz="8" w:space="0"/>
              <w:bottom w:val="single" w:color="auto" w:sz="4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繁荣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主题</w:t>
            </w: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整合营销传播：独角兽企业的创建与市场推广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Business, Entrepreneurship, and the Sustainable Development Goals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Anya Cheng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西北大学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兼职讲师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1F2329" w:sz="8" w:space="0"/>
              <w:bottom w:val="single" w:color="auto" w:sz="4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Calibri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全球经济可持续发展理论与实践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Economics and Sustainability : Theories and Applications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Lorenzo Lotti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伦敦大学学院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1F2329" w:sz="8" w:space="0"/>
              <w:bottom w:val="single" w:color="auto" w:sz="4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Calibri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从贸易摩擦看世界贸易格局的重塑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Reshaping Global Trade: The Impact and Effects of the Trade War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Bryan Mercurio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香港中文大学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1F2329" w:sz="8" w:space="0"/>
              <w:bottom w:val="single" w:color="auto" w:sz="4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Calibri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 xml:space="preserve">人工智能与现代科技的挑战及治理 </w: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Challenge and Governance of Artificial Intelligence and Modern Technology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朱荣生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清华大学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1F2329" w:sz="8" w:space="0"/>
              <w:bottom w:val="single" w:color="auto" w:sz="4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Calibri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可持续发展目标下的新媒体产业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New Media Industry under the Sustainable Development Goals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Ananda Mitra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维克森林大学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1F2329" w:sz="8" w:space="0"/>
              <w:bottom w:val="single" w:color="auto" w:sz="4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Calibri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新兴生物技术发展与全球治理</w: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Emerging Biotechnology Development and Global Governance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刘博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四川大学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1F2329" w:sz="8" w:space="0"/>
              <w:bottom w:val="single" w:color="auto" w:sz="4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Calibri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全球合作模式中的创新与创业</w: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Innovation and Entrepreneurship in Global Context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David Ahlstrom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香港中文大学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1F2329" w:sz="8" w:space="0"/>
              <w:bottom w:val="single" w:color="auto" w:sz="4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Calibri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国际经济视角分析“一带一路”与可持续发展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The Belt and Road Initiative Based on Sustainable Development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王亚星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中国人民大学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1F2329" w:sz="8" w:space="0"/>
              <w:bottom w:val="single" w:color="auto" w:sz="4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Calibri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全球化进程中的法律和经济增长与发展</w: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Law and Economic Growth and Development in the Process of Globalization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Bryan Mercurio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香港中文大学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和平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主题</w:t>
            </w: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000000" w:themeColor="text1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国际传播与公共外交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Communication and public diplomacy in Global Context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000000" w:themeColor="text1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吴非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000000" w:themeColor="text1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暨南大学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000000" w:themeColor="text1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全球化下的国际法与通行规则</w: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International Law and Globalization under Sustainable Development Goals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Ralph Wilde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伦敦大学学院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Calibri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国际冲突与危机管理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International Conflict and Crisis Management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Priyankar Upadhyaya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联合国和平大学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  <w:jc w:val="center"/>
        </w:trPr>
        <w:tc>
          <w:tcPr>
            <w:tcW w:w="830" w:type="dxa"/>
            <w:vMerge w:val="continue"/>
            <w:tcBorders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Calibri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中美战略竞争与国际关系变革</w: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Strategic Competition between China and the United States and Reform of International Relations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刘宏松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上海交通大学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310" w:hRule="atLeast"/>
          <w:jc w:val="center"/>
        </w:trPr>
        <w:tc>
          <w:tcPr>
            <w:tcW w:w="10496" w:type="dxa"/>
            <w:gridSpan w:val="5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b/>
                <w:bCs/>
                <w:color w:val="FFFFFF" w:themeColor="background1"/>
                <w:sz w:val="22"/>
                <w:szCs w:val="22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auto"/>
                <w:sz w:val="20"/>
                <w:szCs w:val="20"/>
                <w:lang w:val="en-US" w:eastAsia="zh-Hans"/>
              </w:rPr>
              <w:t>进阶类（参与基础类课程1-2门后可选</w:t>
            </w:r>
            <w:r>
              <w:rPr>
                <w:rFonts w:hint="default" w:ascii="Calibri" w:hAnsi="Calibri" w:eastAsia="宋体" w:cs="Calibri"/>
                <w:b/>
                <w:bCs/>
                <w:color w:val="auto"/>
                <w:sz w:val="20"/>
                <w:szCs w:val="20"/>
                <w:lang w:eastAsia="zh-Hans"/>
              </w:rPr>
              <w:t>，32</w:t>
            </w:r>
            <w:r>
              <w:rPr>
                <w:rFonts w:hint="default" w:ascii="Calibri" w:hAnsi="Calibri" w:eastAsia="宋体" w:cs="Calibri"/>
                <w:b/>
                <w:bCs/>
                <w:color w:val="auto"/>
                <w:sz w:val="20"/>
                <w:szCs w:val="20"/>
                <w:lang w:val="en-US" w:eastAsia="zh-Hans"/>
              </w:rPr>
              <w:t>学时</w:t>
            </w:r>
            <w:r>
              <w:rPr>
                <w:rFonts w:hint="default" w:ascii="Calibri" w:hAnsi="Calibri" w:eastAsia="宋体" w:cs="Calibri"/>
                <w:b/>
                <w:bCs/>
                <w:color w:val="auto"/>
                <w:sz w:val="20"/>
                <w:szCs w:val="20"/>
                <w:lang w:eastAsia="zh-Hans"/>
              </w:rPr>
              <w:t>/</w:t>
            </w:r>
            <w:r>
              <w:rPr>
                <w:rFonts w:hint="default" w:ascii="Calibri" w:hAnsi="Calibri" w:eastAsia="宋体" w:cs="Calibri"/>
                <w:b/>
                <w:bCs/>
                <w:color w:val="auto"/>
                <w:sz w:val="20"/>
                <w:szCs w:val="20"/>
                <w:lang w:val="en-US" w:eastAsia="zh-Hans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830" w:type="dxa"/>
            <w:vMerge w:val="restart"/>
            <w:tcBorders>
              <w:top w:val="single" w:color="1F2329" w:sz="8" w:space="0"/>
              <w:left w:val="single" w:color="1F2329" w:sz="8" w:space="0"/>
              <w:bottom w:val="nil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b/>
                <w:bCs/>
                <w:i/>
                <w:iCs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bCs/>
                <w:i/>
                <w:iCs/>
                <w:szCs w:val="21"/>
              </w:rPr>
              <w:t>增值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i/>
                <w:iCs/>
                <w:szCs w:val="21"/>
              </w:rPr>
              <w:t>服务</w:t>
            </w: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 xml:space="preserve">联合国公文阅读与写作 </w:t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Reading and Writing of UN Official Documents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刘宏松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上海交通大学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830" w:type="dxa"/>
            <w:vMerge w:val="continue"/>
            <w:tcBorders>
              <w:top w:val="nil"/>
              <w:left w:val="single" w:color="1F2329" w:sz="8" w:space="0"/>
              <w:bottom w:val="nil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 xml:space="preserve">公共演讲与谈判 </w:t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Public Speaking and Negotiation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Erik Seversen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加州大学洛杉矶分校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客座讲师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830" w:type="dxa"/>
            <w:vMerge w:val="continue"/>
            <w:tcBorders>
              <w:top w:val="nil"/>
              <w:left w:val="single" w:color="1F2329" w:sz="8" w:space="0"/>
              <w:bottom w:val="nil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 xml:space="preserve">跨文化沟通技巧与实战指导 </w:t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Cross-cultural Communication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许颖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中国人民大学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830" w:type="dxa"/>
            <w:vMerge w:val="continue"/>
            <w:tcBorders>
              <w:top w:val="nil"/>
              <w:left w:val="single" w:color="1F2329" w:sz="8" w:space="0"/>
              <w:bottom w:val="nil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 xml:space="preserve">领导力与团队管理 </w:t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Leadership and Team Management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Duysal Askun Celik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莱斯大学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830" w:type="dxa"/>
            <w:vMerge w:val="continue"/>
            <w:tcBorders>
              <w:top w:val="nil"/>
              <w:left w:val="single" w:color="1F2329" w:sz="8" w:space="0"/>
              <w:bottom w:val="nil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 xml:space="preserve">结构化面试技巧及实战指导 </w:t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Structured Interview Skills and Practical Guidance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Colleen M.Keough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南加州大学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830" w:type="dxa"/>
            <w:vMerge w:val="continue"/>
            <w:tcBorders>
              <w:top w:val="nil"/>
              <w:left w:val="single" w:color="1F2329" w:sz="8" w:space="0"/>
              <w:bottom w:val="nil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 xml:space="preserve">报告和论文撰写中常用的研究方法与数据处理 </w:t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Research Methods and Data Processing Methods in report and paper writing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Talia Abbott Chalew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约翰霍普金斯大学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客座教授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830" w:type="dxa"/>
            <w:vMerge w:val="continue"/>
            <w:tcBorders>
              <w:top w:val="nil"/>
              <w:left w:val="single" w:color="1F2329" w:sz="8" w:space="0"/>
              <w:bottom w:val="single" w:color="auto" w:sz="4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 xml:space="preserve">国际组织竞聘指导及职业生涯规划 </w:t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International Organizations Competition Guidance and Career Planning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辛越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中国人民警察大学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1042" w:hRule="atLeast"/>
          <w:jc w:val="center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1F2329" w:sz="8" w:space="0"/>
              <w:bottom w:val="nil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</w:p>
        </w:tc>
        <w:tc>
          <w:tcPr>
            <w:tcW w:w="4899" w:type="dxa"/>
            <w:tcBorders>
              <w:top w:val="single" w:color="1F2329" w:sz="8" w:space="0"/>
              <w:left w:val="single" w:color="1F2329" w:sz="8" w:space="0"/>
              <w:bottom w:val="single" w:color="auto" w:sz="4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全球数字化时代下的企业运营管理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Enterprise operation management in the era of global digitalization</w:t>
            </w:r>
          </w:p>
        </w:tc>
        <w:tc>
          <w:tcPr>
            <w:tcW w:w="1399" w:type="dxa"/>
            <w:tcBorders>
              <w:top w:val="single" w:color="1F2329" w:sz="8" w:space="0"/>
              <w:left w:val="single" w:color="1F2329" w:sz="8" w:space="0"/>
              <w:bottom w:val="single" w:color="auto" w:sz="4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Ouardighi EL Fouad</w:t>
            </w:r>
          </w:p>
        </w:tc>
        <w:tc>
          <w:tcPr>
            <w:tcW w:w="2064" w:type="dxa"/>
            <w:tcBorders>
              <w:top w:val="single" w:color="1F2329" w:sz="8" w:space="0"/>
              <w:left w:val="single" w:color="1F2329" w:sz="8" w:space="0"/>
              <w:bottom w:val="single" w:color="auto" w:sz="4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埃塞克商学院</w:t>
            </w:r>
          </w:p>
        </w:tc>
        <w:tc>
          <w:tcPr>
            <w:tcW w:w="1304" w:type="dxa"/>
            <w:tcBorders>
              <w:top w:val="single" w:color="1F2329" w:sz="8" w:space="0"/>
              <w:left w:val="single" w:color="1F2329" w:sz="8" w:space="0"/>
              <w:bottom w:val="single" w:color="auto" w:sz="4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  <w:t>教授</w:t>
            </w:r>
          </w:p>
        </w:tc>
      </w:tr>
    </w:tbl>
    <w:tbl>
      <w:tblPr>
        <w:tblStyle w:val="6"/>
        <w:tblpPr w:leftFromText="180" w:rightFromText="180" w:vertAnchor="text" w:horzAnchor="page" w:tblpX="813" w:tblpY="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7" w:type="dxa"/>
          <w:left w:w="102" w:type="dxa"/>
          <w:bottom w:w="17" w:type="dxa"/>
          <w:right w:w="17" w:type="dxa"/>
        </w:tblCellMar>
      </w:tblPr>
      <w:tblGrid>
        <w:gridCol w:w="828"/>
        <w:gridCol w:w="4900"/>
        <w:gridCol w:w="1400"/>
        <w:gridCol w:w="2057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</w:trPr>
        <w:tc>
          <w:tcPr>
            <w:tcW w:w="828" w:type="dxa"/>
            <w:vMerge w:val="restart"/>
            <w:tcBorders>
              <w:top w:val="nil"/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</w:p>
        </w:tc>
        <w:tc>
          <w:tcPr>
            <w:tcW w:w="4900" w:type="dxa"/>
            <w:tcBorders>
              <w:top w:val="nil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数据科学与大数据分析</w:t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Data Science and Big Data Analysis</w:t>
            </w:r>
          </w:p>
        </w:tc>
        <w:tc>
          <w:tcPr>
            <w:tcW w:w="1400" w:type="dxa"/>
            <w:tcBorders>
              <w:top w:val="nil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杨旭</w:t>
            </w:r>
          </w:p>
        </w:tc>
        <w:tc>
          <w:tcPr>
            <w:tcW w:w="2057" w:type="dxa"/>
            <w:tcBorders>
              <w:top w:val="nil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北京理工大学</w:t>
            </w:r>
          </w:p>
        </w:tc>
        <w:tc>
          <w:tcPr>
            <w:tcW w:w="1300" w:type="dxa"/>
            <w:tcBorders>
              <w:top w:val="nil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</w:trPr>
        <w:tc>
          <w:tcPr>
            <w:tcW w:w="828" w:type="dxa"/>
            <w:vMerge w:val="continue"/>
            <w:tcBorders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</w:p>
        </w:tc>
        <w:tc>
          <w:tcPr>
            <w:tcW w:w="4900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逻辑与批判性思维</w:t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Logic and Critical Thinking</w:t>
            </w:r>
          </w:p>
        </w:tc>
        <w:tc>
          <w:tcPr>
            <w:tcW w:w="1400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冷欣</w:t>
            </w:r>
          </w:p>
        </w:tc>
        <w:tc>
          <w:tcPr>
            <w:tcW w:w="2057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同济大学</w:t>
            </w:r>
          </w:p>
        </w:tc>
        <w:tc>
          <w:tcPr>
            <w:tcW w:w="1300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310" w:hRule="atLeast"/>
        </w:trPr>
        <w:tc>
          <w:tcPr>
            <w:tcW w:w="10485" w:type="dxa"/>
            <w:gridSpan w:val="5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b/>
                <w:bCs/>
                <w:color w:val="FFFFFF" w:themeColor="background1"/>
                <w:sz w:val="22"/>
                <w:szCs w:val="22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b/>
                <w:bCs/>
                <w:color w:val="auto"/>
                <w:sz w:val="20"/>
                <w:szCs w:val="20"/>
                <w:lang w:val="en-US" w:eastAsia="zh-Hans"/>
              </w:rPr>
              <w:t>实践类</w:t>
            </w:r>
            <w:r>
              <w:rPr>
                <w:rFonts w:hint="default" w:ascii="Calibri" w:hAnsi="Calibri" w:eastAsia="宋体" w:cs="Calibri"/>
                <w:b/>
                <w:bCs/>
                <w:color w:val="auto"/>
                <w:sz w:val="20"/>
                <w:szCs w:val="20"/>
                <w:lang w:eastAsia="zh-Hans"/>
              </w:rPr>
              <w:t>（</w:t>
            </w:r>
            <w:r>
              <w:rPr>
                <w:rFonts w:hint="default" w:ascii="Calibri" w:hAnsi="Calibri" w:eastAsia="宋体" w:cs="Calibri"/>
                <w:b/>
                <w:bCs/>
                <w:color w:val="auto"/>
                <w:sz w:val="20"/>
                <w:szCs w:val="20"/>
                <w:lang w:val="en-US" w:eastAsia="zh-Hans"/>
              </w:rPr>
              <w:t>参与基础类课程1-2门后可选</w:t>
            </w:r>
            <w:r>
              <w:rPr>
                <w:rFonts w:hint="default" w:ascii="Calibri" w:hAnsi="Calibri" w:eastAsia="宋体" w:cs="Calibri"/>
                <w:b/>
                <w:bCs/>
                <w:color w:val="auto"/>
                <w:sz w:val="20"/>
                <w:szCs w:val="20"/>
                <w:lang w:eastAsia="zh-Hans"/>
              </w:rPr>
              <w:t>，32</w:t>
            </w:r>
            <w:r>
              <w:rPr>
                <w:rFonts w:hint="default" w:ascii="Calibri" w:hAnsi="Calibri" w:eastAsia="宋体" w:cs="Calibri"/>
                <w:b/>
                <w:bCs/>
                <w:color w:val="auto"/>
                <w:sz w:val="20"/>
                <w:szCs w:val="20"/>
                <w:lang w:val="en-US" w:eastAsia="zh-Hans"/>
              </w:rPr>
              <w:t>学时</w:t>
            </w:r>
            <w:r>
              <w:rPr>
                <w:rFonts w:hint="default" w:ascii="Calibri" w:hAnsi="Calibri" w:eastAsia="宋体" w:cs="Calibri"/>
                <w:b/>
                <w:bCs/>
                <w:color w:val="auto"/>
                <w:sz w:val="20"/>
                <w:szCs w:val="20"/>
                <w:lang w:eastAsia="zh-Hans"/>
              </w:rPr>
              <w:t>/</w:t>
            </w:r>
            <w:r>
              <w:rPr>
                <w:rFonts w:hint="default" w:ascii="Calibri" w:hAnsi="Calibri" w:eastAsia="宋体" w:cs="Calibri"/>
                <w:b/>
                <w:bCs/>
                <w:color w:val="auto"/>
                <w:sz w:val="20"/>
                <w:szCs w:val="20"/>
                <w:lang w:val="en-US" w:eastAsia="zh-Hans"/>
              </w:rPr>
              <w:t>门</w:t>
            </w:r>
            <w:r>
              <w:rPr>
                <w:rFonts w:hint="default" w:ascii="Calibri" w:hAnsi="Calibri" w:eastAsia="宋体" w:cs="Calibri"/>
                <w:b/>
                <w:bCs/>
                <w:color w:val="auto"/>
                <w:sz w:val="20"/>
                <w:szCs w:val="20"/>
                <w:lang w:eastAsia="zh-Hans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</w:trPr>
        <w:tc>
          <w:tcPr>
            <w:tcW w:w="828" w:type="dxa"/>
            <w:vMerge w:val="restart"/>
            <w:tcBorders>
              <w:top w:val="single" w:color="1F2329" w:sz="8" w:space="0"/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b/>
                <w:bCs/>
                <w:i/>
                <w:iCs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bCs/>
                <w:i/>
                <w:iCs/>
                <w:szCs w:val="21"/>
              </w:rPr>
              <w:t>增值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/>
                <w:bCs/>
                <w:i/>
                <w:iCs/>
                <w:szCs w:val="21"/>
              </w:rPr>
              <w:t>服务</w:t>
            </w:r>
          </w:p>
        </w:tc>
        <w:tc>
          <w:tcPr>
            <w:tcW w:w="4900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 xml:space="preserve">NGO网页制作与UI设计 </w:t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NGO Webpage and UI Design</w:t>
            </w:r>
          </w:p>
        </w:tc>
        <w:tc>
          <w:tcPr>
            <w:tcW w:w="1400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Rabih Younes</w:t>
            </w:r>
          </w:p>
        </w:tc>
        <w:tc>
          <w:tcPr>
            <w:tcW w:w="2057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杜克大学</w:t>
            </w:r>
          </w:p>
        </w:tc>
        <w:tc>
          <w:tcPr>
            <w:tcW w:w="1300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助理教授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</w:trPr>
        <w:tc>
          <w:tcPr>
            <w:tcW w:w="828" w:type="dxa"/>
            <w:vMerge w:val="continue"/>
            <w:tcBorders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 xml:space="preserve">国际组织媒体运营方案制定 </w:t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Media Operation Plans for International Organizations</w:t>
            </w:r>
          </w:p>
        </w:tc>
        <w:tc>
          <w:tcPr>
            <w:tcW w:w="1400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曾凡斌</w:t>
            </w:r>
          </w:p>
        </w:tc>
        <w:tc>
          <w:tcPr>
            <w:tcW w:w="2057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暨南大学</w:t>
            </w:r>
          </w:p>
        </w:tc>
        <w:tc>
          <w:tcPr>
            <w:tcW w:w="1300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</w:trPr>
        <w:tc>
          <w:tcPr>
            <w:tcW w:w="828" w:type="dxa"/>
            <w:vMerge w:val="continue"/>
            <w:tcBorders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2030可持续发展议程的数据可视化</w:t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Data Visualization of the 2030 Agenda for Sustainable Development</w:t>
            </w:r>
          </w:p>
        </w:tc>
        <w:tc>
          <w:tcPr>
            <w:tcW w:w="1400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王玉林</w:t>
            </w:r>
          </w:p>
        </w:tc>
        <w:tc>
          <w:tcPr>
            <w:tcW w:w="2057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武汉大学</w:t>
            </w:r>
          </w:p>
        </w:tc>
        <w:tc>
          <w:tcPr>
            <w:tcW w:w="1300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</w:trPr>
        <w:tc>
          <w:tcPr>
            <w:tcW w:w="828" w:type="dxa"/>
            <w:vMerge w:val="continue"/>
            <w:tcBorders>
              <w:left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900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基于SWOT模型的亚太地区商业发展分析</w:t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Analysis of Business Development in the Asia-Pacific Region Based on SWOT Model</w:t>
            </w:r>
          </w:p>
        </w:tc>
        <w:tc>
          <w:tcPr>
            <w:tcW w:w="1400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Md Moniruzzaman</w:t>
            </w:r>
          </w:p>
        </w:tc>
        <w:tc>
          <w:tcPr>
            <w:tcW w:w="2057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美国加州大学河滨分校</w:t>
            </w:r>
          </w:p>
        </w:tc>
        <w:tc>
          <w:tcPr>
            <w:tcW w:w="1300" w:type="dxa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0"/>
                <w:szCs w:val="20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7" w:type="dxa"/>
            <w:left w:w="102" w:type="dxa"/>
            <w:bottom w:w="17" w:type="dxa"/>
            <w:right w:w="17" w:type="dxa"/>
          </w:tblCellMar>
        </w:tblPrEx>
        <w:trPr>
          <w:trHeight w:val="936" w:hRule="atLeast"/>
        </w:trPr>
        <w:tc>
          <w:tcPr>
            <w:tcW w:w="10485" w:type="dxa"/>
            <w:gridSpan w:val="5"/>
            <w:tcBorders>
              <w:top w:val="single" w:color="1F2329" w:sz="8" w:space="0"/>
              <w:left w:val="single" w:color="1F2329" w:sz="8" w:space="0"/>
              <w:bottom w:val="single" w:color="1F2329" w:sz="8" w:space="0"/>
              <w:right w:val="single" w:color="1F2329" w:sz="8" w:space="0"/>
            </w:tcBorders>
            <w:shd w:val="clear" w:color="auto" w:fill="FFFF00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【注】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 xml:space="preserve"> 1.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  <w:t>进阶类课程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和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  <w:t>实践类课程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仅供完成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1门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及以上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基础类课程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学习并取得合格成绩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的学生选择。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50" w:leftChars="400" w:right="0" w:hanging="210" w:hangingChars="10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2.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  <w:t>进阶类课程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和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  <w:t>实践类课程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为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  <w:t>增值服务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不能使用每学期提供的基础课位抵扣，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高校需为选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修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此类课程的学生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采购增值服务（￥600/课位）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。</w:t>
            </w:r>
          </w:p>
        </w:tc>
      </w:tr>
    </w:tbl>
    <w:p>
      <w:pPr>
        <w:jc w:val="both"/>
      </w:pPr>
    </w:p>
    <w:p>
      <w:pPr>
        <w:ind w:firstLine="560" w:firstLineChars="200"/>
        <w:rPr>
          <w:rFonts w:ascii="微软雅黑" w:hAnsi="微软雅黑" w:eastAsia="微软雅黑" w:cs="华文中宋"/>
          <w:sz w:val="28"/>
          <w:szCs w:val="36"/>
        </w:rPr>
      </w:pPr>
      <w:r>
        <w:rPr>
          <w:rFonts w:hint="eastAsia" w:ascii="微软雅黑" w:hAnsi="微软雅黑" w:eastAsia="微软雅黑" w:cs="华文中宋"/>
          <w:sz w:val="28"/>
          <w:szCs w:val="36"/>
        </w:rPr>
        <w:t>课程咨询联系方式：</w:t>
      </w:r>
    </w:p>
    <w:p>
      <w:pPr>
        <w:ind w:firstLine="560" w:firstLineChars="200"/>
        <w:rPr>
          <w:rFonts w:ascii="微软雅黑" w:hAnsi="微软雅黑" w:eastAsia="微软雅黑" w:cs="华文中宋"/>
          <w:sz w:val="28"/>
          <w:szCs w:val="36"/>
        </w:rPr>
      </w:pPr>
      <w:r>
        <w:rPr>
          <w:rFonts w:hint="eastAsia" w:ascii="微软雅黑" w:hAnsi="微软雅黑" w:eastAsia="微软雅黑" w:cs="华文中宋"/>
          <w:sz w:val="28"/>
          <w:szCs w:val="36"/>
        </w:rPr>
        <w:t xml:space="preserve">申志昌 </w:t>
      </w:r>
      <w:r>
        <w:rPr>
          <w:rFonts w:ascii="微软雅黑" w:hAnsi="微软雅黑" w:eastAsia="微软雅黑" w:cs="华文中宋"/>
          <w:sz w:val="28"/>
          <w:szCs w:val="36"/>
        </w:rPr>
        <w:t>18511781865</w:t>
      </w:r>
      <w:r>
        <w:rPr>
          <w:rFonts w:hint="eastAsia" w:ascii="微软雅黑" w:hAnsi="微软雅黑" w:eastAsia="微软雅黑" w:cs="华文中宋"/>
          <w:sz w:val="28"/>
          <w:szCs w:val="36"/>
        </w:rPr>
        <w:t>（微信同号）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0"/>
          <w:szCs w:val="20"/>
          <w:lang w:val="en-US" w:eastAsia="zh-Hans"/>
        </w:rPr>
      </w:pPr>
      <w:r>
        <w:rPr>
          <w:rFonts w:hint="eastAsia" w:ascii="微软雅黑" w:hAnsi="微软雅黑" w:eastAsia="微软雅黑" w:cs="华文中宋"/>
          <w:sz w:val="28"/>
          <w:szCs w:val="36"/>
        </w:rPr>
        <w:t xml:space="preserve">郭沐芳 </w:t>
      </w:r>
      <w:r>
        <w:rPr>
          <w:rFonts w:ascii="微软雅黑" w:hAnsi="微软雅黑" w:eastAsia="微软雅黑" w:cs="华文中宋"/>
          <w:sz w:val="28"/>
          <w:szCs w:val="36"/>
        </w:rPr>
        <w:t>18511695022</w:t>
      </w:r>
      <w:r>
        <w:rPr>
          <w:rFonts w:hint="eastAsia" w:ascii="微软雅黑" w:hAnsi="微软雅黑" w:eastAsia="微软雅黑" w:cs="华文中宋"/>
          <w:sz w:val="28"/>
          <w:szCs w:val="36"/>
        </w:rPr>
        <w:t>（微信同号）</w:t>
      </w:r>
    </w:p>
    <w:sectPr>
      <w:headerReference r:id="rId5" w:type="default"/>
      <w:pgSz w:w="11906" w:h="16838"/>
      <w:pgMar w:top="3402" w:right="567" w:bottom="379" w:left="56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-552450</wp:posOffset>
          </wp:positionV>
          <wp:extent cx="7588250" cy="1104265"/>
          <wp:effectExtent l="0" t="0" r="6350" b="635"/>
          <wp:wrapThrough wrapText="bothSides">
            <wp:wrapPolygon>
              <wp:start x="0" y="0"/>
              <wp:lineTo x="0" y="21364"/>
              <wp:lineTo x="21582" y="21364"/>
              <wp:lineTo x="21582" y="0"/>
              <wp:lineTo x="0" y="0"/>
            </wp:wrapPolygon>
          </wp:wrapThrough>
          <wp:docPr id="2" name="图片 2" descr="飞书20210901-145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飞书20210901-14575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0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ge">
            <wp:posOffset>0</wp:posOffset>
          </wp:positionV>
          <wp:extent cx="7565390" cy="1846580"/>
          <wp:effectExtent l="0" t="0" r="3810" b="7620"/>
          <wp:wrapTopAndBottom/>
          <wp:docPr id="6" name="图片 6" descr="高层次主k定稿_复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高层次主k定稿_复制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0" cy="184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Y2I2N2Q3Yzk2MTc4NDJkZTI3ZTIwNDk2N2Y5OWUifQ=="/>
  </w:docVars>
  <w:rsids>
    <w:rsidRoot w:val="00172A27"/>
    <w:rsid w:val="044459CC"/>
    <w:rsid w:val="049274EA"/>
    <w:rsid w:val="130D1EB8"/>
    <w:rsid w:val="14673C04"/>
    <w:rsid w:val="20AD42AD"/>
    <w:rsid w:val="44563ED9"/>
    <w:rsid w:val="475341F4"/>
    <w:rsid w:val="4BE62961"/>
    <w:rsid w:val="4C863423"/>
    <w:rsid w:val="50E5390D"/>
    <w:rsid w:val="530439EA"/>
    <w:rsid w:val="56D71992"/>
    <w:rsid w:val="65C47919"/>
    <w:rsid w:val="78586694"/>
    <w:rsid w:val="7A56204E"/>
    <w:rsid w:val="7E080FEC"/>
    <w:rsid w:val="AE598F4F"/>
    <w:rsid w:val="B6F83372"/>
    <w:rsid w:val="FD7FD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2733</Words>
  <Characters>4848</Characters>
  <Lines>0</Lines>
  <Paragraphs>0</Paragraphs>
  <TotalTime>16</TotalTime>
  <ScaleCrop>false</ScaleCrop>
  <LinksUpToDate>false</LinksUpToDate>
  <CharactersWithSpaces>5162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2022-02-18T11:37:00Z</dcterms:created>
  <dc:creator>tunesplm</dc:creator>
  <cp:lastModifiedBy>WPS_1615623060</cp:lastModifiedBy>
  <dcterms:modified xsi:type="dcterms:W3CDTF">2022-08-30T06:58:45Z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FA25067AE9D643B7A490711E3F938B6B</vt:lpwstr>
  </property>
</Properties>
</file>